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Subtitle"/>
        <w:spacing w:after="0" w:before="0" w:line="360" w:lineRule="auto"/>
        <w:ind w:right="-40.8661417322827" w:firstLine="0"/>
        <w:jc w:val="center"/>
        <w:rPr>
          <w:rFonts w:ascii="Times New Roman" w:cs="Times New Roman" w:eastAsia="Times New Roman" w:hAnsi="Times New Roman"/>
          <w:b w:val="1"/>
          <w:color w:val="000000"/>
          <w:sz w:val="24"/>
          <w:szCs w:val="24"/>
        </w:rPr>
      </w:pPr>
      <w:bookmarkStart w:colFirst="0" w:colLast="0" w:name="_k6t0ksmnln74" w:id="0"/>
      <w:bookmarkEnd w:id="0"/>
      <w:r w:rsidDel="00000000" w:rsidR="00000000" w:rsidRPr="00000000">
        <w:rPr>
          <w:rFonts w:ascii="Times New Roman" w:cs="Times New Roman" w:eastAsia="Times New Roman" w:hAnsi="Times New Roman"/>
          <w:b w:val="1"/>
          <w:color w:val="000000"/>
          <w:sz w:val="24"/>
          <w:szCs w:val="24"/>
          <w:rtl w:val="0"/>
        </w:rPr>
        <w:t xml:space="preserve">TÍTULO: SUBTÍTULO (se houver)</w:t>
      </w:r>
    </w:p>
    <w:p w:rsidR="00000000" w:rsidDel="00000000" w:rsidP="00000000" w:rsidRDefault="00000000" w:rsidRPr="00000000" w14:paraId="00000002">
      <w:pPr>
        <w:pStyle w:val="Title"/>
        <w:spacing w:after="0" w:before="0" w:line="360" w:lineRule="auto"/>
        <w:ind w:left="0" w:right="-40.8661417322827" w:firstLine="0"/>
        <w:jc w:val="center"/>
        <w:rPr>
          <w:rFonts w:ascii="Times New Roman" w:cs="Times New Roman" w:eastAsia="Times New Roman" w:hAnsi="Times New Roman"/>
          <w:i w:val="1"/>
          <w:sz w:val="24"/>
          <w:szCs w:val="24"/>
        </w:rPr>
      </w:pPr>
      <w:bookmarkStart w:colFirst="0" w:colLast="0" w:name="_qhkbaqu3803y" w:id="1"/>
      <w:bookmarkEnd w:id="1"/>
      <w:r w:rsidDel="00000000" w:rsidR="00000000" w:rsidRPr="00000000">
        <w:rPr>
          <w:rFonts w:ascii="Times New Roman" w:cs="Times New Roman" w:eastAsia="Times New Roman" w:hAnsi="Times New Roman"/>
          <w:i w:val="1"/>
          <w:sz w:val="24"/>
          <w:szCs w:val="24"/>
          <w:rtl w:val="0"/>
        </w:rPr>
        <w:t xml:space="preserve">TITLE: SUBTITLE</w:t>
      </w:r>
    </w:p>
    <w:p w:rsidR="00000000" w:rsidDel="00000000" w:rsidP="00000000" w:rsidRDefault="00000000" w:rsidRPr="00000000" w14:paraId="00000003">
      <w:pPr>
        <w:spacing w:after="0" w:before="0" w:line="360" w:lineRule="auto"/>
        <w:ind w:right="-40.8661417322827"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240" w:lineRule="auto"/>
        <w:ind w:right="-40.866141732282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Nome completo do(a) autor(a)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spacing w:after="0" w:before="0" w:line="240" w:lineRule="auto"/>
        <w:ind w:right="-40.8661417322827"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Nome completo do(a) autor(a)**</w:t>
      </w:r>
    </w:p>
    <w:p w:rsidR="00000000" w:rsidDel="00000000" w:rsidP="00000000" w:rsidRDefault="00000000" w:rsidRPr="00000000" w14:paraId="00000006">
      <w:pPr>
        <w:spacing w:after="0" w:before="0" w:line="360" w:lineRule="auto"/>
        <w:ind w:right="-40.8661417322827"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40" w:lineRule="auto"/>
        <w:ind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O resumo é constituído de frases concisas e objetivas e deve indicar o problema da pesquisa, a metodologia e as conclusões. Além disso, deve conter no máximo 250 palavras, dispostas em um único parágrafo.</w:t>
      </w:r>
    </w:p>
    <w:p w:rsidR="00000000" w:rsidDel="00000000" w:rsidP="00000000" w:rsidRDefault="00000000" w:rsidRPr="00000000" w14:paraId="00000008">
      <w:pPr>
        <w:spacing w:after="0" w:before="0" w:line="240" w:lineRule="auto"/>
        <w:ind w:right="-40.866141732282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Revista Avant.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Edital. Artigo científico. Formatação. Normalização.</w:t>
      </w:r>
    </w:p>
    <w:p w:rsidR="00000000" w:rsidDel="00000000" w:rsidP="00000000" w:rsidRDefault="00000000" w:rsidRPr="00000000" w14:paraId="0000000A">
      <w:pPr>
        <w:spacing w:after="0" w:before="0" w:line="240" w:lineRule="auto"/>
        <w:ind w:right="-40.866141732282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right="-40.866141732282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r w:rsidDel="00000000" w:rsidR="00000000" w:rsidRPr="00000000">
        <w:rPr>
          <w:rFonts w:ascii="Times New Roman" w:cs="Times New Roman" w:eastAsia="Times New Roman" w:hAnsi="Times New Roman"/>
          <w:i w:val="1"/>
          <w:sz w:val="24"/>
          <w:szCs w:val="24"/>
          <w:rtl w:val="0"/>
        </w:rPr>
        <w:t xml:space="preserve"> The abstract is composed of concise and objective sentences and must indicate the research problem, methodology and conclusions. In addition, the abstract must contain 250 words at the most, placed on a single paragraph.</w:t>
      </w:r>
    </w:p>
    <w:p w:rsidR="00000000" w:rsidDel="00000000" w:rsidP="00000000" w:rsidRDefault="00000000" w:rsidRPr="00000000" w14:paraId="0000000C">
      <w:pPr>
        <w:spacing w:after="0" w:before="0" w:line="240" w:lineRule="auto"/>
        <w:ind w:right="-40.8661417322827"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after="0" w:before="0" w:line="240" w:lineRule="auto"/>
        <w:ind w:right="-40.866141732282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Revista Avant. Announcement.</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Scientific article. Formatting. Standardization.</w:t>
      </w:r>
    </w:p>
    <w:p w:rsidR="00000000" w:rsidDel="00000000" w:rsidP="00000000" w:rsidRDefault="00000000" w:rsidRPr="00000000" w14:paraId="0000000E">
      <w:pPr>
        <w:spacing w:after="0" w:before="0" w:line="360" w:lineRule="auto"/>
        <w:ind w:right="-40.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right="-40.8661417322827" w:firstLine="0"/>
        <w:rPr>
          <w:b w:val="1"/>
        </w:rPr>
      </w:pPr>
      <w:r w:rsidDel="00000000" w:rsidR="00000000" w:rsidRPr="00000000">
        <w:rPr>
          <w:b w:val="1"/>
          <w:rtl w:val="0"/>
        </w:rPr>
        <w:t xml:space="preserve">1. INTRODUÇÃO</w:t>
      </w:r>
    </w:p>
    <w:p w:rsidR="00000000" w:rsidDel="00000000" w:rsidP="00000000" w:rsidRDefault="00000000" w:rsidRPr="00000000" w14:paraId="00000010">
      <w:pPr>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 inicial do artigo ou estudo, na qual devem constar a delimitação do assunto tratado, os objetivos da pesquisa e outros elementos necessários para situar o tema do trabalho.</w:t>
      </w:r>
    </w:p>
    <w:p w:rsidR="00000000" w:rsidDel="00000000" w:rsidP="00000000" w:rsidRDefault="00000000" w:rsidRPr="00000000" w14:paraId="00000011">
      <w:pPr>
        <w:spacing w:after="0" w:before="0" w:line="360" w:lineRule="auto"/>
        <w:ind w:right="-40.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right="-40.8661417322827" w:firstLine="0"/>
        <w:rPr>
          <w:b w:val="1"/>
        </w:rPr>
      </w:pPr>
      <w:r w:rsidDel="00000000" w:rsidR="00000000" w:rsidRPr="00000000">
        <w:rPr>
          <w:b w:val="1"/>
          <w:rtl w:val="0"/>
        </w:rPr>
        <w:t xml:space="preserve">2. DESENVOLVIMENTO</w:t>
      </w:r>
    </w:p>
    <w:p w:rsidR="00000000" w:rsidDel="00000000" w:rsidP="00000000" w:rsidRDefault="00000000" w:rsidRPr="00000000" w14:paraId="00000013">
      <w:pPr>
        <w:widowControl w:val="0"/>
        <w:tabs>
          <w:tab w:val="left" w:leader="none" w:pos="-7.322834645669332"/>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 principal do artigo ou estudo, que contém uma exposição ordenada e pormenorizada do assunto tratado. Divide-se em seções e subseções.</w:t>
      </w:r>
    </w:p>
    <w:p w:rsidR="00000000" w:rsidDel="00000000" w:rsidP="00000000" w:rsidRDefault="00000000" w:rsidRPr="00000000" w14:paraId="00000014">
      <w:pPr>
        <w:widowControl w:val="0"/>
        <w:tabs>
          <w:tab w:val="left" w:leader="none" w:pos="1279"/>
        </w:tabs>
        <w:spacing w:after="0" w:before="0" w:line="360" w:lineRule="auto"/>
        <w:ind w:right="-40.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tabs>
          <w:tab w:val="left" w:leader="none" w:pos="1279"/>
        </w:tabs>
        <w:ind w:right="-40.8661417322827" w:firstLine="0"/>
        <w:rPr>
          <w:b w:val="1"/>
        </w:rPr>
      </w:pPr>
      <w:r w:rsidDel="00000000" w:rsidR="00000000" w:rsidRPr="00000000">
        <w:rPr>
          <w:b w:val="1"/>
          <w:rtl w:val="0"/>
        </w:rPr>
        <w:t xml:space="preserve">2.1 Formatação</w:t>
      </w:r>
    </w:p>
    <w:p w:rsidR="00000000" w:rsidDel="00000000" w:rsidP="00000000" w:rsidRDefault="00000000" w:rsidRPr="00000000" w14:paraId="00000016">
      <w:pPr>
        <w:widowControl w:val="0"/>
        <w:tabs>
          <w:tab w:val="left" w:leader="none" w:pos="1537"/>
          <w:tab w:val="left" w:leader="none" w:pos="-7.322834645669332"/>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versão final do trabalho deve respeitar o mínimo de 15 e o máximo de 25 páginas, incluindo as referências. Para o texto, a fonte deve ser “Times New Roman”  tamanho 12 e o espaçamento 1,5 entre as linhas. Para citações com mais de três linhas, notas de rodapé, tabelas, legendas e fontes das ilustrações, deve ser usada a fonte “Times New Roman” tamanho 10 e o espaçamento simples. Ademais, o número de página deve constar no canto inferior direito, a medida das margens deve ser de 2,5 cm e o alinhamento deve ser justificado, com recuo de 1,5 cm na primeira linha. </w:t>
      </w:r>
    </w:p>
    <w:p w:rsidR="00000000" w:rsidDel="00000000" w:rsidP="00000000" w:rsidRDefault="00000000" w:rsidRPr="00000000" w14:paraId="00000017">
      <w:pPr>
        <w:widowControl w:val="0"/>
        <w:tabs>
          <w:tab w:val="left" w:leader="none" w:pos="1537"/>
          <w:tab w:val="left" w:leader="none" w:pos="1538"/>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tabs>
          <w:tab w:val="left" w:leader="none" w:pos="1537"/>
          <w:tab w:val="left" w:leader="none" w:pos="1545"/>
        </w:tabs>
        <w:ind w:right="-40.8661417322827" w:firstLine="0"/>
        <w:rPr>
          <w:b w:val="1"/>
        </w:rPr>
      </w:pPr>
      <w:r w:rsidDel="00000000" w:rsidR="00000000" w:rsidRPr="00000000">
        <w:rPr>
          <w:b w:val="1"/>
          <w:rtl w:val="0"/>
        </w:rPr>
        <w:t xml:space="preserve">2.2 Citações e referências</w:t>
      </w:r>
    </w:p>
    <w:p w:rsidR="00000000" w:rsidDel="00000000" w:rsidP="00000000" w:rsidRDefault="00000000" w:rsidRPr="00000000" w14:paraId="00000019">
      <w:pPr>
        <w:widowControl w:val="0"/>
        <w:tabs>
          <w:tab w:val="left" w:leader="none" w:pos="1537"/>
          <w:tab w:val="left" w:leader="none" w:pos="1538"/>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e referências devem ser realizadas no sistema de chamada autor­-data — reservando-se o rodapé exclusivamente para notas explicativas. Quanto às citações, em linhas gerais, as citações diretas de até três linhas devem estar contidas entre aspas duplas; já as citações diretas com mais de três linhas devem ser destacadas com recuo de 4 cm da margem esquerda, fonte tamanho 10 e sem as aspas, por exemplo:</w:t>
      </w:r>
    </w:p>
    <w:p w:rsidR="00000000" w:rsidDel="00000000" w:rsidP="00000000" w:rsidRDefault="00000000" w:rsidRPr="00000000" w14:paraId="0000001A">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1º A República Federativa do Brasil, formada pela união indissolúvel dos Estados e Municípios e do Distrito Federal, constitui-se em Estado Democrático de Direito e tem como fundamentos:</w:t>
      </w:r>
    </w:p>
    <w:p w:rsidR="00000000" w:rsidDel="00000000" w:rsidP="00000000" w:rsidRDefault="00000000" w:rsidRPr="00000000" w14:paraId="0000001C">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a soberania;</w:t>
      </w:r>
    </w:p>
    <w:p w:rsidR="00000000" w:rsidDel="00000000" w:rsidP="00000000" w:rsidRDefault="00000000" w:rsidRPr="00000000" w14:paraId="0000001D">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a cidadania;</w:t>
      </w:r>
    </w:p>
    <w:p w:rsidR="00000000" w:rsidDel="00000000" w:rsidP="00000000" w:rsidRDefault="00000000" w:rsidRPr="00000000" w14:paraId="0000001E">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a dignidade da pessoa humana;</w:t>
      </w:r>
    </w:p>
    <w:p w:rsidR="00000000" w:rsidDel="00000000" w:rsidP="00000000" w:rsidRDefault="00000000" w:rsidRPr="00000000" w14:paraId="0000001F">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 os valores sociais do trabalho e da livre iniciativa;        </w:t>
      </w:r>
    </w:p>
    <w:p w:rsidR="00000000" w:rsidDel="00000000" w:rsidP="00000000" w:rsidRDefault="00000000" w:rsidRPr="00000000" w14:paraId="00000020">
      <w:pPr>
        <w:widowControl w:val="0"/>
        <w:tabs>
          <w:tab w:val="left" w:leader="none" w:pos="1537"/>
          <w:tab w:val="left" w:leader="none" w:pos="1538"/>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 o pluralismo político.</w:t>
      </w:r>
    </w:p>
    <w:p w:rsidR="00000000" w:rsidDel="00000000" w:rsidP="00000000" w:rsidRDefault="00000000" w:rsidRPr="00000000" w14:paraId="00000021">
      <w:pPr>
        <w:widowControl w:val="0"/>
        <w:tabs>
          <w:tab w:val="left" w:leader="none" w:pos="1537"/>
          <w:tab w:val="left" w:leader="none" w:pos="2259.212598425197"/>
        </w:tabs>
        <w:spacing w:after="0" w:before="0" w:line="24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Todo o poder emana do povo, que o exerce por meio de  representantes eleitos ou diretamente, nos termos desta Constituição (BRASIL, 1988).</w:t>
      </w:r>
    </w:p>
    <w:p w:rsidR="00000000" w:rsidDel="00000000" w:rsidP="00000000" w:rsidRDefault="00000000" w:rsidRPr="00000000" w14:paraId="00000022">
      <w:pPr>
        <w:widowControl w:val="0"/>
        <w:tabs>
          <w:tab w:val="left" w:leader="none" w:pos="1537"/>
          <w:tab w:val="left" w:leader="none" w:pos="1538"/>
        </w:tabs>
        <w:spacing w:after="0" w:before="0" w:line="360" w:lineRule="auto"/>
        <w:ind w:left="2267.71653543307" w:right="-40.866141732282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tabs>
          <w:tab w:val="left" w:leader="none" w:pos="1537"/>
          <w:tab w:val="left" w:leader="none" w:pos="1538"/>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indicação de autoria deverá ser feita pelo sobrenome de cada autor ou pelo nome de cada entidade responsável até o primeiro sinal de pontuação, seguido(s) da data de publicação do documento e da(s) página(s) da citação, no caso de citação direta, separados por vírgula e entre parênteses. Havendo mais de um autor, seus sobrenomes devem ser separados por ponto e vírgula. Exemplos: (BAUMAN, 1999), (GOMES; VECHI, 1992, p. 23) (ABNT, 2002).</w:t>
      </w:r>
    </w:p>
    <w:p w:rsidR="00000000" w:rsidDel="00000000" w:rsidP="00000000" w:rsidRDefault="00000000" w:rsidRPr="00000000" w14:paraId="00000024">
      <w:pPr>
        <w:widowControl w:val="0"/>
        <w:tabs>
          <w:tab w:val="left" w:leader="none" w:pos="1537"/>
          <w:tab w:val="left" w:leader="none" w:pos="1538"/>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às referências, devem estar em ordem alfabética, alinhadas à margem esquerda e separadas por uma linha em branco. O espaçamento deve ser simples e o elemento “título” deve ser destacado em itálico. Abaixo são fornecidos alguns modelos para a transcrição dos elementos de cada referência, conforme exemplos retirados da NBR 6023 (ABNT, 2018).</w:t>
      </w:r>
    </w:p>
    <w:p w:rsidR="00000000" w:rsidDel="00000000" w:rsidP="00000000" w:rsidRDefault="00000000" w:rsidRPr="00000000" w14:paraId="00000025">
      <w:pPr>
        <w:widowControl w:val="0"/>
        <w:tabs>
          <w:tab w:val="left" w:leader="none" w:pos="1537"/>
          <w:tab w:val="left" w:leader="none" w:pos="1538"/>
        </w:tabs>
        <w:spacing w:after="0" w:before="0" w:line="360" w:lineRule="auto"/>
        <w:ind w:right="-40.8661417322827"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tabs>
          <w:tab w:val="left" w:leader="none" w:pos="1279"/>
        </w:tabs>
        <w:ind w:right="-40.8661417322827" w:firstLine="0"/>
        <w:rPr>
          <w:b w:val="1"/>
        </w:rPr>
      </w:pPr>
      <w:r w:rsidDel="00000000" w:rsidR="00000000" w:rsidRPr="00000000">
        <w:rPr>
          <w:b w:val="1"/>
          <w:rtl w:val="0"/>
        </w:rPr>
        <w:t xml:space="preserve">3. CONSIDERAÇÕES FINAIS</w:t>
      </w:r>
    </w:p>
    <w:p w:rsidR="00000000" w:rsidDel="00000000" w:rsidP="00000000" w:rsidRDefault="00000000" w:rsidRPr="00000000" w14:paraId="00000027">
      <w:pPr>
        <w:widowControl w:val="0"/>
        <w:tabs>
          <w:tab w:val="left" w:leader="none" w:pos="832.6771653543307"/>
        </w:tabs>
        <w:spacing w:after="0" w:before="0" w:line="360" w:lineRule="auto"/>
        <w:ind w:right="-4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 final do artigo ou estudo, na qual se apresentam as considerações correspondentes aos objetivos e às hipóteses.</w:t>
      </w:r>
    </w:p>
    <w:p w:rsidR="00000000" w:rsidDel="00000000" w:rsidP="00000000" w:rsidRDefault="00000000" w:rsidRPr="00000000" w14:paraId="00000028">
      <w:pPr>
        <w:widowControl w:val="0"/>
        <w:tabs>
          <w:tab w:val="left" w:leader="none" w:pos="1279"/>
        </w:tabs>
        <w:spacing w:after="0" w:before="0" w:line="360" w:lineRule="auto"/>
        <w:ind w:right="-40.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tabs>
          <w:tab w:val="left" w:leader="none" w:pos="-5.787401574803113"/>
        </w:tabs>
        <w:ind w:right="-40.8661417322827" w:firstLine="0"/>
        <w:jc w:val="center"/>
        <w:rPr>
          <w:b w:val="1"/>
        </w:rPr>
      </w:pPr>
      <w:r w:rsidDel="00000000" w:rsidR="00000000" w:rsidRPr="00000000">
        <w:rPr>
          <w:b w:val="1"/>
          <w:rtl w:val="0"/>
        </w:rPr>
        <w:t xml:space="preserve">REFERÊNCIAS</w:t>
      </w:r>
    </w:p>
    <w:p w:rsidR="00000000" w:rsidDel="00000000" w:rsidP="00000000" w:rsidRDefault="00000000" w:rsidRPr="00000000" w14:paraId="0000002A">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BRASILEIRA DE NORMAS TÉCNICAS. </w:t>
      </w:r>
      <w:r w:rsidDel="00000000" w:rsidR="00000000" w:rsidRPr="00000000">
        <w:rPr>
          <w:rFonts w:ascii="Times New Roman" w:cs="Times New Roman" w:eastAsia="Times New Roman" w:hAnsi="Times New Roman"/>
          <w:i w:val="1"/>
          <w:sz w:val="24"/>
          <w:szCs w:val="24"/>
          <w:rtl w:val="0"/>
        </w:rPr>
        <w:t xml:space="preserve">ABNT NBR 10520</w:t>
      </w:r>
      <w:r w:rsidDel="00000000" w:rsidR="00000000" w:rsidRPr="00000000">
        <w:rPr>
          <w:rFonts w:ascii="Times New Roman" w:cs="Times New Roman" w:eastAsia="Times New Roman" w:hAnsi="Times New Roman"/>
          <w:sz w:val="24"/>
          <w:szCs w:val="24"/>
          <w:rtl w:val="0"/>
        </w:rPr>
        <w:t xml:space="preserve">: informação e documentação: citação em documentos: apresentação. Rio de Janeiro: ABNT, 2002.</w:t>
      </w:r>
    </w:p>
    <w:p w:rsidR="00000000" w:rsidDel="00000000" w:rsidP="00000000" w:rsidRDefault="00000000" w:rsidRPr="00000000" w14:paraId="0000002B">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BRASILEIRA DE NORMAS TÉCNICAS. </w:t>
      </w:r>
      <w:r w:rsidDel="00000000" w:rsidR="00000000" w:rsidRPr="00000000">
        <w:rPr>
          <w:rFonts w:ascii="Times New Roman" w:cs="Times New Roman" w:eastAsia="Times New Roman" w:hAnsi="Times New Roman"/>
          <w:i w:val="1"/>
          <w:sz w:val="24"/>
          <w:szCs w:val="24"/>
          <w:rtl w:val="0"/>
        </w:rPr>
        <w:t xml:space="preserve">ABNT NBR 6023</w:t>
      </w:r>
      <w:r w:rsidDel="00000000" w:rsidR="00000000" w:rsidRPr="00000000">
        <w:rPr>
          <w:rFonts w:ascii="Times New Roman" w:cs="Times New Roman" w:eastAsia="Times New Roman" w:hAnsi="Times New Roman"/>
          <w:sz w:val="24"/>
          <w:szCs w:val="24"/>
          <w:rtl w:val="0"/>
        </w:rPr>
        <w:t xml:space="preserve">: informação e documentação: referências: elaboração. Rio de Janeiro: ABNT, 2018.</w:t>
      </w:r>
    </w:p>
    <w:p w:rsidR="00000000" w:rsidDel="00000000" w:rsidP="00000000" w:rsidRDefault="00000000" w:rsidRPr="00000000" w14:paraId="0000002D">
      <w:pPr>
        <w:spacing w:after="0" w:before="0" w:line="240" w:lineRule="auto"/>
        <w:ind w:right="-40.8661417322827" w:firstLine="0"/>
        <w:jc w:val="left"/>
        <w:rPr>
          <w:sz w:val="25"/>
          <w:szCs w:val="25"/>
        </w:rPr>
      </w:pPr>
      <w:r w:rsidDel="00000000" w:rsidR="00000000" w:rsidRPr="00000000">
        <w:rPr>
          <w:rtl w:val="0"/>
        </w:rPr>
      </w:r>
    </w:p>
    <w:p w:rsidR="00000000" w:rsidDel="00000000" w:rsidP="00000000" w:rsidRDefault="00000000" w:rsidRPr="00000000" w14:paraId="0000002E">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BAUMAN, Zygmunt. </w:t>
      </w:r>
      <w:r w:rsidDel="00000000" w:rsidR="00000000" w:rsidRPr="00000000">
        <w:rPr>
          <w:rFonts w:ascii="Times New Roman" w:cs="Times New Roman" w:eastAsia="Times New Roman" w:hAnsi="Times New Roman"/>
          <w:i w:val="1"/>
          <w:sz w:val="24"/>
          <w:szCs w:val="24"/>
          <w:rtl w:val="0"/>
        </w:rPr>
        <w:t xml:space="preserve">Globalização</w:t>
      </w:r>
      <w:r w:rsidDel="00000000" w:rsidR="00000000" w:rsidRPr="00000000">
        <w:rPr>
          <w:rFonts w:ascii="Times New Roman" w:cs="Times New Roman" w:eastAsia="Times New Roman" w:hAnsi="Times New Roman"/>
          <w:sz w:val="24"/>
          <w:szCs w:val="24"/>
          <w:rtl w:val="0"/>
        </w:rPr>
        <w:t xml:space="preserve">: as consequências humanas. Rio de Janeiro: Jorge Zahar, 1999.</w:t>
      </w:r>
    </w:p>
    <w:p w:rsidR="00000000" w:rsidDel="00000000" w:rsidP="00000000" w:rsidRDefault="00000000" w:rsidRPr="00000000" w14:paraId="0000002F">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[Constituição (1988)]. </w:t>
      </w:r>
      <w:r w:rsidDel="00000000" w:rsidR="00000000" w:rsidRPr="00000000">
        <w:rPr>
          <w:rFonts w:ascii="Times New Roman" w:cs="Times New Roman" w:eastAsia="Times New Roman" w:hAnsi="Times New Roman"/>
          <w:i w:val="1"/>
          <w:sz w:val="24"/>
          <w:szCs w:val="24"/>
          <w:rtl w:val="0"/>
        </w:rPr>
        <w:t xml:space="preserve">Constituição da República Federativa do Brasil de 1988.</w:t>
      </w:r>
      <w:r w:rsidDel="00000000" w:rsidR="00000000" w:rsidRPr="00000000">
        <w:rPr>
          <w:rFonts w:ascii="Times New Roman" w:cs="Times New Roman" w:eastAsia="Times New Roman" w:hAnsi="Times New Roman"/>
          <w:sz w:val="24"/>
          <w:szCs w:val="24"/>
          <w:rtl w:val="0"/>
        </w:rPr>
        <w:t xml:space="preserve"> Brasília, DF: Presidência da República, [2016]. Disponível em: http://www.planalto.gov.br/ccivil_03/Constituicao/Constituiçao.htm. Acesso em: 1 jan. 2017.</w:t>
      </w:r>
    </w:p>
    <w:p w:rsidR="00000000" w:rsidDel="00000000" w:rsidP="00000000" w:rsidRDefault="00000000" w:rsidRPr="00000000" w14:paraId="00000031">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w:t>
      </w:r>
      <w:r w:rsidDel="00000000" w:rsidR="00000000" w:rsidRPr="00000000">
        <w:rPr>
          <w:rFonts w:ascii="Times New Roman" w:cs="Times New Roman" w:eastAsia="Times New Roman" w:hAnsi="Times New Roman"/>
          <w:i w:val="1"/>
          <w:sz w:val="24"/>
          <w:szCs w:val="24"/>
          <w:rtl w:val="0"/>
        </w:rPr>
        <w:t xml:space="preserve">Súmula n° 333</w:t>
      </w:r>
      <w:r w:rsidDel="00000000" w:rsidR="00000000" w:rsidRPr="00000000">
        <w:rPr>
          <w:rFonts w:ascii="Times New Roman" w:cs="Times New Roman" w:eastAsia="Times New Roman" w:hAnsi="Times New Roman"/>
          <w:sz w:val="24"/>
          <w:szCs w:val="24"/>
          <w:rtl w:val="0"/>
        </w:rPr>
        <w:t xml:space="preserve">. Cabe mandado de segurança contra ato praticado em licitação promovida por sociedade de economia mista ou empresa pública. Brasília, DF: Superior Tribunal de Justiça, [2007]. Disponível em: https://www.stj.jus.br/docs_internet/revista/eletronica/stj-revista-sumulas-2012_28_capSumula333.pdf. Acesso em: 19 ago. 2011.</w:t>
      </w:r>
    </w:p>
    <w:p w:rsidR="00000000" w:rsidDel="00000000" w:rsidP="00000000" w:rsidRDefault="00000000" w:rsidRPr="00000000" w14:paraId="00000033">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CRÉDITO à agropecuária será de R$ 156 bilhões até 2015.</w:t>
      </w:r>
      <w:r w:rsidDel="00000000" w:rsidR="00000000" w:rsidRPr="00000000">
        <w:rPr>
          <w:rFonts w:ascii="Times New Roman" w:cs="Times New Roman" w:eastAsia="Times New Roman" w:hAnsi="Times New Roman"/>
          <w:i w:val="1"/>
          <w:sz w:val="24"/>
          <w:szCs w:val="24"/>
          <w:rtl w:val="0"/>
        </w:rPr>
        <w:t xml:space="preserve"> Jornal do Commercio</w:t>
      </w:r>
      <w:r w:rsidDel="00000000" w:rsidR="00000000" w:rsidRPr="00000000">
        <w:rPr>
          <w:rFonts w:ascii="Times New Roman" w:cs="Times New Roman" w:eastAsia="Times New Roman" w:hAnsi="Times New Roman"/>
          <w:sz w:val="24"/>
          <w:szCs w:val="24"/>
          <w:rtl w:val="0"/>
        </w:rPr>
        <w:t xml:space="preserve">, Rio de Janeiro, ano 97, n. 156, p. A3, 20 maio 2014.</w:t>
      </w:r>
    </w:p>
    <w:p w:rsidR="00000000" w:rsidDel="00000000" w:rsidP="00000000" w:rsidRDefault="00000000" w:rsidRPr="00000000" w14:paraId="00000035">
      <w:pPr>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CURITIBA.</w:t>
      </w:r>
      <w:r w:rsidDel="00000000" w:rsidR="00000000" w:rsidRPr="00000000">
        <w:rPr>
          <w:rFonts w:ascii="Times New Roman" w:cs="Times New Roman" w:eastAsia="Times New Roman" w:hAnsi="Times New Roman"/>
          <w:i w:val="1"/>
          <w:sz w:val="24"/>
          <w:szCs w:val="24"/>
          <w:rtl w:val="0"/>
        </w:rPr>
        <w:t xml:space="preserve"> Lei nº 12.092, de 21 de dezembro de 2006</w:t>
      </w:r>
      <w:r w:rsidDel="00000000" w:rsidR="00000000" w:rsidRPr="00000000">
        <w:rPr>
          <w:rFonts w:ascii="Times New Roman" w:cs="Times New Roman" w:eastAsia="Times New Roman" w:hAnsi="Times New Roman"/>
          <w:sz w:val="24"/>
          <w:szCs w:val="24"/>
          <w:rtl w:val="0"/>
        </w:rPr>
        <w:t xml:space="preserve">. Estima a receita e fixa a despesa do município de Curitiba para o exercício financeiro de 2007. Curitiba: Câmara Municipal, [2007]. Disponível em: http://domino.cmc.pr.gov.br/contlei.nsf/98454e416897038b052568fc004fc180/e5df879ac6353e7f032572800061df72. Acesso em: 22 mar. 2007.</w:t>
      </w:r>
    </w:p>
    <w:p w:rsidR="00000000" w:rsidDel="00000000" w:rsidP="00000000" w:rsidRDefault="00000000" w:rsidRPr="00000000" w14:paraId="00000037">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V. R. À margem da lei: o Programa Comunidade Solidária. </w:t>
      </w:r>
      <w:r w:rsidDel="00000000" w:rsidR="00000000" w:rsidRPr="00000000">
        <w:rPr>
          <w:rFonts w:ascii="Times New Roman" w:cs="Times New Roman" w:eastAsia="Times New Roman" w:hAnsi="Times New Roman"/>
          <w:i w:val="1"/>
          <w:sz w:val="24"/>
          <w:szCs w:val="24"/>
          <w:rtl w:val="0"/>
        </w:rPr>
        <w:t xml:space="preserve">Em Pauta</w:t>
      </w:r>
      <w:r w:rsidDel="00000000" w:rsidR="00000000" w:rsidRPr="00000000">
        <w:rPr>
          <w:rFonts w:ascii="Times New Roman" w:cs="Times New Roman" w:eastAsia="Times New Roman" w:hAnsi="Times New Roman"/>
          <w:sz w:val="24"/>
          <w:szCs w:val="24"/>
          <w:rtl w:val="0"/>
        </w:rPr>
        <w:t xml:space="preserve">: revista da Faculdade de Serviço Social da UERJ, Rio de Janeiro, n. 12, p. 131-148, 1998.</w:t>
      </w:r>
    </w:p>
    <w:p w:rsidR="00000000" w:rsidDel="00000000" w:rsidP="00000000" w:rsidRDefault="00000000" w:rsidRPr="00000000" w14:paraId="00000039">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A. C.; VECHI, C. A. </w:t>
      </w:r>
      <w:r w:rsidDel="00000000" w:rsidR="00000000" w:rsidRPr="00000000">
        <w:rPr>
          <w:rFonts w:ascii="Times New Roman" w:cs="Times New Roman" w:eastAsia="Times New Roman" w:hAnsi="Times New Roman"/>
          <w:i w:val="1"/>
          <w:sz w:val="24"/>
          <w:szCs w:val="24"/>
          <w:rtl w:val="0"/>
        </w:rPr>
        <w:t xml:space="preserve">Estática romântica</w:t>
      </w:r>
      <w:r w:rsidDel="00000000" w:rsidR="00000000" w:rsidRPr="00000000">
        <w:rPr>
          <w:rFonts w:ascii="Times New Roman" w:cs="Times New Roman" w:eastAsia="Times New Roman" w:hAnsi="Times New Roman"/>
          <w:sz w:val="24"/>
          <w:szCs w:val="24"/>
          <w:rtl w:val="0"/>
        </w:rPr>
        <w:t xml:space="preserve">: textos doutrinários comentados. São Paulo: Atlas, 1992.</w:t>
      </w:r>
    </w:p>
    <w:p w:rsidR="00000000" w:rsidDel="00000000" w:rsidP="00000000" w:rsidRDefault="00000000" w:rsidRPr="00000000" w14:paraId="0000003B">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Ana Lúcia Aquilas.</w:t>
      </w:r>
      <w:r w:rsidDel="00000000" w:rsidR="00000000" w:rsidRPr="00000000">
        <w:rPr>
          <w:rFonts w:ascii="Times New Roman" w:cs="Times New Roman" w:eastAsia="Times New Roman" w:hAnsi="Times New Roman"/>
          <w:i w:val="1"/>
          <w:sz w:val="24"/>
          <w:szCs w:val="24"/>
          <w:rtl w:val="0"/>
        </w:rPr>
        <w:t xml:space="preserve"> Impacto de um programa de exercícios no local de trabalho sobre o nível de atividade física e o estágio de prontidão para a mudança de comportamento.</w:t>
      </w:r>
      <w:r w:rsidDel="00000000" w:rsidR="00000000" w:rsidRPr="00000000">
        <w:rPr>
          <w:rFonts w:ascii="Times New Roman" w:cs="Times New Roman" w:eastAsia="Times New Roman" w:hAnsi="Times New Roman"/>
          <w:sz w:val="24"/>
          <w:szCs w:val="24"/>
          <w:rtl w:val="0"/>
        </w:rPr>
        <w:t xml:space="preserve"> 2009. Dissertação (Mestrado em Fisiopatologia Experimental) – Faculdade de Medicina, Universidade de São Paulo, São Paulo, 2009.</w:t>
      </w:r>
    </w:p>
    <w:p w:rsidR="00000000" w:rsidDel="00000000" w:rsidP="00000000" w:rsidRDefault="00000000" w:rsidRPr="00000000" w14:paraId="0000003D">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ROMANO, Giovanni. Imagens da juventude na era moderna. In: LEVI, G.; SCHMIDT, J. (org.). </w:t>
      </w:r>
      <w:r w:rsidDel="00000000" w:rsidR="00000000" w:rsidRPr="00000000">
        <w:rPr>
          <w:rFonts w:ascii="Times New Roman" w:cs="Times New Roman" w:eastAsia="Times New Roman" w:hAnsi="Times New Roman"/>
          <w:i w:val="1"/>
          <w:sz w:val="24"/>
          <w:szCs w:val="24"/>
          <w:rtl w:val="0"/>
        </w:rPr>
        <w:t xml:space="preserve">História dos jovens 2</w:t>
      </w:r>
      <w:r w:rsidDel="00000000" w:rsidR="00000000" w:rsidRPr="00000000">
        <w:rPr>
          <w:rFonts w:ascii="Times New Roman" w:cs="Times New Roman" w:eastAsia="Times New Roman" w:hAnsi="Times New Roman"/>
          <w:sz w:val="24"/>
          <w:szCs w:val="24"/>
          <w:rtl w:val="0"/>
        </w:rPr>
        <w:t xml:space="preserve">: a época contemporânea. São Paulo: Companhia das Letras, 1996. p. 7-16.</w:t>
      </w:r>
    </w:p>
    <w:p w:rsidR="00000000" w:rsidDel="00000000" w:rsidP="00000000" w:rsidRDefault="00000000" w:rsidRPr="00000000" w14:paraId="0000003F">
      <w:pPr>
        <w:widowControl w:val="0"/>
        <w:tabs>
          <w:tab w:val="left" w:leader="none" w:pos="840"/>
        </w:tabs>
        <w:spacing w:after="0" w:before="0" w:line="240" w:lineRule="auto"/>
        <w:ind w:right="-40.866141732282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tabs>
          <w:tab w:val="left" w:leader="none" w:pos="840"/>
        </w:tabs>
        <w:spacing w:after="0" w:before="0" w:line="240" w:lineRule="auto"/>
        <w:ind w:right="-40.8661417322827" w:firstLine="0"/>
        <w:jc w:val="left"/>
        <w:rPr/>
      </w:pPr>
      <w:r w:rsidDel="00000000" w:rsidR="00000000" w:rsidRPr="00000000">
        <w:rPr>
          <w:rFonts w:ascii="Times New Roman" w:cs="Times New Roman" w:eastAsia="Times New Roman" w:hAnsi="Times New Roman"/>
          <w:sz w:val="24"/>
          <w:szCs w:val="24"/>
          <w:rtl w:val="0"/>
        </w:rPr>
        <w:t xml:space="preserve">VERÍSSIMO, L. F. Um gosto pela ironia. </w:t>
      </w:r>
      <w:r w:rsidDel="00000000" w:rsidR="00000000" w:rsidRPr="00000000">
        <w:rPr>
          <w:rFonts w:ascii="Times New Roman" w:cs="Times New Roman" w:eastAsia="Times New Roman" w:hAnsi="Times New Roman"/>
          <w:i w:val="1"/>
          <w:sz w:val="24"/>
          <w:szCs w:val="24"/>
          <w:rtl w:val="0"/>
        </w:rPr>
        <w:t xml:space="preserve">Zero Hora</w:t>
      </w:r>
      <w:r w:rsidDel="00000000" w:rsidR="00000000" w:rsidRPr="00000000">
        <w:rPr>
          <w:rFonts w:ascii="Times New Roman" w:cs="Times New Roman" w:eastAsia="Times New Roman" w:hAnsi="Times New Roman"/>
          <w:sz w:val="24"/>
          <w:szCs w:val="24"/>
          <w:rtl w:val="0"/>
        </w:rPr>
        <w:t xml:space="preserve">, Porto Alegre, ano 47, n. 16.414, p. 2, 12 ago. 2010. Disponível em: http://www.clicrbs.com.br/zerohora/jsp/default.jspx?uf=1%action=flip. Acesso em: 12 ago. 2010.</w:t>
      </w: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133.8582677165355" w:top="1700.7874015748032" w:left="1700.7874015748032"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ind w:right="-40.8661417322827" w:firstLine="0"/>
      <w:jc w:val="left"/>
      <w:rPr/>
    </w:pPr>
    <w:bookmarkStart w:colFirst="0" w:colLast="0" w:name="_gjdgxs" w:id="2"/>
    <w:bookmarkEnd w:id="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ind w:right="-40.8661417322827" w:firstLine="0"/>
      <w:jc w:val="center"/>
      <w:rPr/>
    </w:pPr>
    <w:bookmarkStart w:colFirst="0" w:colLast="0" w:name="_gjdgxs"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_BR"/>
      </w:rPr>
    </w:rPrDefault>
    <w:pPrDefault>
      <w:pPr>
        <w:tabs>
          <w:tab w:val="left" w:leader="none" w:pos="1537"/>
          <w:tab w:val="left" w:leader="none" w:pos="-7.322834645669332"/>
        </w:tabs>
        <w:spacing w:line="360" w:lineRule="auto"/>
        <w:ind w:firstLine="850.393700787401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360" w:lineRule="auto"/>
      <w:ind w:firstLine="855"/>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360" w:lineRule="auto"/>
      <w:ind w:left="720" w:firstLine="130.39370078740177"/>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